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B6CBD">
        <w:trPr>
          <w:trHeight w:hRule="exact" w:val="3031"/>
        </w:trPr>
        <w:tc>
          <w:tcPr>
            <w:tcW w:w="10716" w:type="dxa"/>
          </w:tcPr>
          <w:p w:rsidR="00CB6CBD" w:rsidRDefault="006B2BB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BD">
        <w:trPr>
          <w:trHeight w:hRule="exact" w:val="8335"/>
        </w:trPr>
        <w:tc>
          <w:tcPr>
            <w:tcW w:w="10716" w:type="dxa"/>
            <w:vAlign w:val="center"/>
          </w:tcPr>
          <w:p w:rsidR="00CB6CBD" w:rsidRDefault="00CB6C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20.10.2020 N 1134н</w:t>
            </w:r>
            <w:r>
              <w:rPr>
                <w:sz w:val="48"/>
                <w:szCs w:val="48"/>
              </w:rPr>
              <w:br/>
              <w:t>"Об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компонентов"</w:t>
            </w:r>
            <w:r>
              <w:rPr>
                <w:sz w:val="48"/>
                <w:szCs w:val="48"/>
              </w:rPr>
              <w:br/>
              <w:t>(Зарегистрировано в Минюсте России 12.11.2020 N 60868)</w:t>
            </w:r>
          </w:p>
        </w:tc>
      </w:tr>
      <w:tr w:rsidR="00CB6CBD">
        <w:trPr>
          <w:trHeight w:hRule="exact" w:val="3031"/>
        </w:trPr>
        <w:tc>
          <w:tcPr>
            <w:tcW w:w="10716" w:type="dxa"/>
            <w:vAlign w:val="center"/>
          </w:tcPr>
          <w:p w:rsidR="00CB6CBD" w:rsidRDefault="00CB6C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B6CBD" w:rsidRDefault="00CB6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6CB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B6CBD" w:rsidRDefault="00CB6CBD">
      <w:pPr>
        <w:pStyle w:val="ConsPlusNormal"/>
        <w:jc w:val="both"/>
        <w:outlineLvl w:val="0"/>
      </w:pPr>
    </w:p>
    <w:p w:rsidR="00CB6CBD" w:rsidRDefault="00CB6CBD">
      <w:pPr>
        <w:pStyle w:val="ConsPlusNormal"/>
        <w:outlineLvl w:val="0"/>
      </w:pPr>
      <w:r>
        <w:t>Зарегистрировано в Минюсте России 12 ноября 2020 г. N 60868</w:t>
      </w:r>
    </w:p>
    <w:p w:rsidR="00CB6CBD" w:rsidRDefault="00CB6C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Title"/>
        <w:jc w:val="center"/>
      </w:pPr>
      <w:r>
        <w:t>МИНИСТЕРСТВО ЗДРАВООХРАНЕНИЯ РОССИЙСКОЙ ФЕДЕРАЦИИ</w:t>
      </w:r>
    </w:p>
    <w:p w:rsidR="00CB6CBD" w:rsidRDefault="00CB6CBD">
      <w:pPr>
        <w:pStyle w:val="ConsPlusTitle"/>
        <w:jc w:val="center"/>
      </w:pPr>
    </w:p>
    <w:p w:rsidR="00CB6CBD" w:rsidRDefault="00CB6CBD">
      <w:pPr>
        <w:pStyle w:val="ConsPlusTitle"/>
        <w:jc w:val="center"/>
      </w:pPr>
      <w:r>
        <w:t>ПРИКАЗ</w:t>
      </w:r>
    </w:p>
    <w:p w:rsidR="00CB6CBD" w:rsidRDefault="00CB6CBD">
      <w:pPr>
        <w:pStyle w:val="ConsPlusTitle"/>
        <w:jc w:val="center"/>
      </w:pPr>
      <w:r>
        <w:t>от 20 октября 2020 г. N 1134н</w:t>
      </w:r>
    </w:p>
    <w:p w:rsidR="00CB6CBD" w:rsidRDefault="00CB6CBD">
      <w:pPr>
        <w:pStyle w:val="ConsPlusTitle"/>
        <w:jc w:val="center"/>
      </w:pPr>
    </w:p>
    <w:p w:rsidR="00CB6CBD" w:rsidRDefault="00CB6CBD">
      <w:pPr>
        <w:pStyle w:val="ConsPlusTitle"/>
        <w:jc w:val="center"/>
      </w:pPr>
      <w:r>
        <w:t>ОБ УТВЕРЖДЕНИИ ПОРЯДКА</w:t>
      </w:r>
    </w:p>
    <w:p w:rsidR="00CB6CBD" w:rsidRDefault="00CB6CBD">
      <w:pPr>
        <w:pStyle w:val="ConsPlusTitle"/>
        <w:jc w:val="center"/>
      </w:pPr>
      <w:r>
        <w:t>МЕДИЦИНСКОГО ОБСЛЕДОВАНИЯ РЕЦИПИЕНТА, ПРОВЕДЕНИЯ ПРОБ</w:t>
      </w:r>
    </w:p>
    <w:p w:rsidR="00CB6CBD" w:rsidRDefault="00CB6CBD">
      <w:pPr>
        <w:pStyle w:val="ConsPlusTitle"/>
        <w:jc w:val="center"/>
      </w:pPr>
      <w:r>
        <w:t>НА ИНДИВИДУАЛЬНУЮ СОВМЕСТИМОСТЬ, ВКЛЮЧАЯ БИОЛОГИЧЕСКУЮ</w:t>
      </w:r>
    </w:p>
    <w:p w:rsidR="00CB6CBD" w:rsidRDefault="00CB6CBD">
      <w:pPr>
        <w:pStyle w:val="ConsPlusTitle"/>
        <w:jc w:val="center"/>
      </w:pPr>
      <w:r>
        <w:t>ПРОБУ, ПРИ ТРАНСФУЗИИ ДОНОРСКОЙ КРОВИ</w:t>
      </w:r>
    </w:p>
    <w:p w:rsidR="00CB6CBD" w:rsidRDefault="00CB6CBD">
      <w:pPr>
        <w:pStyle w:val="ConsPlusTitle"/>
        <w:jc w:val="center"/>
      </w:pPr>
      <w:r>
        <w:t>И (ИЛИ) ЕЕ КОМПОНЕНТОВ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78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2019, N 27, ст. 3574), приказываю: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 согласно приложению.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right"/>
      </w:pPr>
      <w:r>
        <w:t>Министр</w:t>
      </w:r>
    </w:p>
    <w:p w:rsidR="00CB6CBD" w:rsidRDefault="00CB6CBD">
      <w:pPr>
        <w:pStyle w:val="ConsPlusNormal"/>
        <w:jc w:val="right"/>
      </w:pPr>
      <w:r>
        <w:t>М.А.МУРАШКО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right"/>
        <w:outlineLvl w:val="0"/>
      </w:pPr>
      <w:r>
        <w:t>Утвержден</w:t>
      </w:r>
    </w:p>
    <w:p w:rsidR="00CB6CBD" w:rsidRDefault="00CB6CBD">
      <w:pPr>
        <w:pStyle w:val="ConsPlusNormal"/>
        <w:jc w:val="right"/>
      </w:pPr>
      <w:r>
        <w:t>приказом Министерства здравоохранения</w:t>
      </w:r>
    </w:p>
    <w:p w:rsidR="00CB6CBD" w:rsidRDefault="00CB6CBD">
      <w:pPr>
        <w:pStyle w:val="ConsPlusNormal"/>
        <w:jc w:val="right"/>
      </w:pPr>
      <w:r>
        <w:t>Российской Федерации</w:t>
      </w:r>
    </w:p>
    <w:p w:rsidR="00CB6CBD" w:rsidRDefault="00CB6CBD">
      <w:pPr>
        <w:pStyle w:val="ConsPlusNormal"/>
        <w:jc w:val="right"/>
      </w:pPr>
      <w:r>
        <w:t>от 20 октября 2020 г. N 1134н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Title"/>
        <w:jc w:val="center"/>
      </w:pPr>
      <w:bookmarkStart w:id="0" w:name="Par31"/>
      <w:bookmarkEnd w:id="0"/>
      <w:r>
        <w:t>ПОРЯДОК</w:t>
      </w:r>
    </w:p>
    <w:p w:rsidR="00CB6CBD" w:rsidRDefault="00CB6CBD">
      <w:pPr>
        <w:pStyle w:val="ConsPlusTitle"/>
        <w:jc w:val="center"/>
      </w:pPr>
      <w:r>
        <w:t>МЕДИЦИНСКОГО ОБСЛЕДОВАНИЯ РЕЦИПИЕНТА, ПРОВЕДЕНИЯ ПРОБ</w:t>
      </w:r>
    </w:p>
    <w:p w:rsidR="00CB6CBD" w:rsidRDefault="00CB6CBD">
      <w:pPr>
        <w:pStyle w:val="ConsPlusTitle"/>
        <w:jc w:val="center"/>
      </w:pPr>
      <w:r>
        <w:t>НА ИНДИВИДУАЛЬНУЮ СОВМЕСТИМОСТЬ, ВКЛЮЧАЯ БИОЛОГИЧЕСКУЮ</w:t>
      </w:r>
    </w:p>
    <w:p w:rsidR="00CB6CBD" w:rsidRDefault="00CB6CBD">
      <w:pPr>
        <w:pStyle w:val="ConsPlusTitle"/>
        <w:jc w:val="center"/>
      </w:pPr>
      <w:r>
        <w:t>ПРОБУ, ПРИ ТРАНСФУЗИИ ДОНОРСКОЙ КРОВИ</w:t>
      </w:r>
    </w:p>
    <w:p w:rsidR="00CB6CBD" w:rsidRDefault="00CB6CBD">
      <w:pPr>
        <w:pStyle w:val="ConsPlusTitle"/>
        <w:jc w:val="center"/>
      </w:pPr>
      <w:r>
        <w:t>И (ИЛИ) ЕЕ КОМПОНЕНТОВ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компонентов, с целью обеспечения эффективности и </w:t>
      </w:r>
      <w:r>
        <w:lastRenderedPageBreak/>
        <w:t>безопасности трансфузии (переливания) донорской крови и (или) ее компонентов (далее - медицинское обследование).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2. Медицинское обследование реципиента проводится в медицинских организациях, образовательных организациях, научных организациях, осуществляющих оказание медицинской помощи, независимо от организационно-правовой формы и формы собственности, а также организациях федеральных органов исполнительной власти, в которых федеральным законом предусмотрена военная и приравненная к ней служба (далее - медицинские организации), осуществляющих клиническое использование донорской крови и (или) ее компонентов &lt;1&gt;.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16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4176, 2018, N 1, ст. 41) (далее - Федеральный закон N 125-ФЗ).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ind w:firstLine="540"/>
        <w:jc w:val="both"/>
      </w:pPr>
      <w:r>
        <w:t>3. Проведение индивидуального подбора компонентов донорской крови, исследование аллоиммунных антител у реципиента осуществляется в медицинских организациях, а также в организациях, входящих в службу крови субъектов обращения донорской крови, осуществляющих заготовку и хранение донорской крови и (или) ее компонентов &lt;2&gt; (далее - организации службы крови).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N 125-ФЗ (Собрание законодательства Российской Федерации, 2012, N 30, ст. 4176).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ind w:firstLine="540"/>
        <w:jc w:val="both"/>
      </w:pPr>
      <w:r>
        <w:t xml:space="preserve">4. Медицинское обследование осуществляется при наличии информированного добровольного согласия реципиента на трансфузию (переливание) донорской крови и ее компонентов с соблюдением требований,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2011, N 48, ст. 6724, 2019, N 10, ст. 888.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ind w:firstLine="540"/>
        <w:jc w:val="both"/>
      </w:pPr>
      <w:r>
        <w:t>5. Медицинское обследование проводится пациентам, поступившим для оказания медицинской помощи по профилю акушерское дело, акушерство и гинекология, аллергология и иммунология, анестезиология и реаниматология, гастроэнтерология, гематология, гериатрия, детская кардиология, детская онкология, детская урология-андрология, детская хирургия, инфекционные болезни, кардиология, колопроктология, нейрохирургия, неонатология, нефрология, онкология, паллиативная медицинская помощь, педиатрия, пластическая хирургия, пульмонология, радиология, радиотерапия, сердечно-сосудистая хирургия, терапия, токсикология, торакальная хирургия, травматология и ортопедия, трансплантация костного мозга и гемопоэтических стволовых клеток, урология, фтизиатрия, хирургия, хирургия (абдоминальная), хирургия (комбустиология), хирургия (трансплантация органов и (или) тканей), челюстно-лицевая хирургия.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lastRenderedPageBreak/>
        <w:t>6. Медицинское обследование пациента, поступившего в медицинскую организацию, которому планируется выполнение трансфузий (переливаний), организуется в отделении врачом-трансфузиологом, лечащим врачом либо дежурным врачом, которые прошли обучение по вопросам трансфузиологии (далее - врач, проводящий трансфузию), и включает в себя: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сбор анамнеза, включая оценку факторов риска возникновения посттрансфузионных реакций и осложнений (повторные трансфузии (переливания) донорской крови и (или) ее компонентов, повторные беременности, ранее выявленные аллоиммунные антитела, посттрансфузионные реакции и осложнения);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первичное определение группы крови по системе AB0 и резус- принадлежности с внесением результатов в медицинскую документацию реципиента;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направление образца крови реципиента в лабораторию для подтверждающего исследования.</w:t>
      </w:r>
    </w:p>
    <w:p w:rsidR="00297B9E" w:rsidRDefault="00297B9E" w:rsidP="00297B9E">
      <w:pPr>
        <w:pStyle w:val="ConsPlusNormal"/>
        <w:spacing w:before="240"/>
        <w:ind w:firstLine="540"/>
        <w:jc w:val="both"/>
      </w:pPr>
      <w:r>
        <w:t>7. Пробы крови реципиента для определения совместимости и проведения индивидуального подбора берутся не ранее чем за 24 часа до трансфузии и маркируются с указанием даты, фамилии и инициалов реципиента, наименования отделения, AB0 и резус-принадлежности реципиента.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8. Не допускается открытие проб с образцами крови реципиента до момента доставки их на исследование в лабораторию.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9. Транспортировка в лабораторию проб с образцами крови реципиента осуществляется в специальных контейнерах при температуре от +-2 °C до +24 °C при условии недопущения прямого воздействия света.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10. Хранение и подготовка к лабораторному исследованию проб крови реципиента до проведения лабораторных исследований осуществляется в условиях, отвечающих требованиям, установленным в инструкциях производителя набора реагентов.</w:t>
      </w:r>
    </w:p>
    <w:p w:rsidR="00CB6CBD" w:rsidRDefault="00CB6CBD">
      <w:pPr>
        <w:pStyle w:val="ConsPlusNormal"/>
        <w:spacing w:before="240"/>
        <w:ind w:firstLine="540"/>
        <w:jc w:val="both"/>
      </w:pPr>
      <w:bookmarkStart w:id="1" w:name="Par59"/>
      <w:bookmarkEnd w:id="1"/>
      <w:r>
        <w:t>11. Исследование образцов крови реципиента организуется в лаборатории медицинской организации и включает в себя: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подтверждающее определение группы крови по системе AB0 перекрестным методом с использованием реагентов, содержащих анти-A, анти-B антитела и стандартные эритроциты;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определение группы крови по системе AB0 новорожденным детям осуществляется из периферической крови, прямым методом с использованием реагентов, содержащих анти-A, анти-B антитела;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в случае расхождения результатов прямого и обратного определения (выявление экстраагглютинина анти-A1) группы крови по системе AB0 для подтверждения подгруппы A2 или A2B используют реактив анти-A1;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подтверждающее определение резус-принадлежности с использованием реагентов, содержащих анти-D IgM. В случае расхождения результатов исследования, полученных в разных медицинских организациях, а также при исследовании резус-принадлежности у беременных женщин, определяется наличие вариантов антигена D с использованием реактива анти-D IgG;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lastRenderedPageBreak/>
        <w:t>определение антигена эритроцитов K1 системы Kell (далее - антиген K);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определение антигенов эритроцитов C, c, E, e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аллоиммунные антитела, а также реципиентам, у которых в анамнезе отмечены несовместимые трансфузии;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скрининг аллоиммунных антител к антигенам эритроцитов с использованием панели стандартных эритроцитов, состоящей не менее чем из 3 видов клеток, типированных по антигенам C, c, E, e, K, Кидд, Даффи, Лютеран, MNS, Левис. Скрининг проводится в непрямом антиглобулиновом тесте. В каждую серию исследований включаются "положительный" и "отрицательный" контроли (образцы сывороток, содержащие и не содержащие антитела). Не допускается применение смеси (пула) образцов эритроцитов для скрининга аллоиммунных антител;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при отсутствии аллоиммунных антител в плазме матери или новорожденного ребенка и при отрицательном результате прямой пробы Кумбса с эритроцитами ребенка пробы на совместимость перед трансфузией новорожденному не проводятся.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12. При совпадении результатов определения антигенов эритроцитов C, c, E, e, антигена K, проведенных дважды в одной медицинской организации, антигены эритроцитов C, c, E, e, антигена K реципиента считаются установленными и в дальнейшем не определяются.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13. Реципиентам, у которых при скрининге не были выявлены аллоиммунные антитела, проводят трансфузии эритроцитсодержащих компонентов донорской крови, совместимых с образцом крови реципиента по антигенам AB0, резус-принадлежности и антигена K.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При трансфузиях эритроцитсодержащих компонентов донорской крови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аллоиммунные антитела, а также реципиентам, у которых в анамнезе отмечены несовместимые трансфузии, дополнительно учитывают совместимость донора и реципиента по антигенам эритроцитов C, c, E, e.</w:t>
      </w:r>
    </w:p>
    <w:p w:rsidR="00CB6CBD" w:rsidRDefault="00CB6CBD">
      <w:pPr>
        <w:pStyle w:val="ConsPlusNormal"/>
        <w:spacing w:before="240"/>
        <w:ind w:firstLine="540"/>
        <w:jc w:val="both"/>
      </w:pPr>
      <w:bookmarkStart w:id="2" w:name="Par71"/>
      <w:bookmarkEnd w:id="2"/>
      <w:r>
        <w:t>14. При выявлении у реципиента аллоиммунных антител осуществляется: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а) идентификация аллоиммунных антител с панелью типированных эритроцитов, содержащей не менее 10 образцов клеток;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б) определение антигенов эритроцитов C, c, E, e, а также, в случае необходимости: систем Кидд, Даффи, Лютеран, MNS, Левис и других систем с помощью антител соответствующей специфичности;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в) использование для трансфузии эритроцитсодержащих компонентов донорской крови, не содержащих антигенов, против которых направлены аллоиммунные антитела;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г) проведение пробы на совместимость с использованием непрямого антиглобулинового теста.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lastRenderedPageBreak/>
        <w:t xml:space="preserve">15. Результаты исследований, указанные в </w:t>
      </w:r>
      <w:hyperlink w:anchor="Par59" w:tooltip="11. Исследование образцов крови реципиента организуется в лаборатории медицинской организации и включает в себя: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71" w:tooltip="14. При выявлении у реципиента аллоиммунных антител осуществляется:" w:history="1">
        <w:r>
          <w:rPr>
            <w:color w:val="0000FF"/>
          </w:rPr>
          <w:t>14</w:t>
        </w:r>
      </w:hyperlink>
      <w:r>
        <w:t xml:space="preserve"> настоящего порядка, вносятся в медицинскую документацию реципиента.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16. При планировании трансфузии эритроцитсодержащих компонентов донорской крови реципиентам с выявленными аллоиммунными антителами врач, проводящий трансфузию, направляет образцы крови реципиента в лабораторию для проведения индивидуального подбора.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17. Индивидуальный подбор эритроцитсодержащих компонентов включает в себя пробу на совместимость эритроцитсодержащих компонентов донора с образцом крови реципиента, проведенную с использованием непрямого антиглобулинового теста.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18. Единица эритроцитсодержащего компонента крови маркируется "совмещено для реципиента" с указанием даты индивидуального подбора, фамилии и инициалов реципиента, наименования отделения медицинской организации.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 xml:space="preserve">19. Перед переливанием эритроцитсодержащих компонентов донорской крови реципиентам без аллоиммунных антител, а также перед трансфузией по индивидуальному подбору, врач, проводящий трансфузию, выполняет контрольную проверку AB0 и резус-принадлежности реципиента и донора, а также пробу на индивидуальную совместимость образца крови реципиента с эритроцитами донора методом исследования на плоскости. Трансфузии осуществляются с учетом требований к совместимости </w:t>
      </w:r>
      <w:hyperlink w:anchor="Par113" w:tooltip="СОВМЕСТИМОСТЬ" w:history="1">
        <w:r>
          <w:rPr>
            <w:color w:val="0000FF"/>
          </w:rPr>
          <w:t>приложения</w:t>
        </w:r>
      </w:hyperlink>
      <w:r>
        <w:t xml:space="preserve"> к настоящему порядку.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20. В целях трансфузии концентратов донорских тромбоцитов, плазмы, криопреципитата и гранулоцитного концентрата врач, проводящий трансфузию, определяет группу крови реципиента по системе AB0. Проба на индивидуальную совместимость методом исследования на плоскости при комнатной температуре не проводится.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21. Индивидуальный подбор тромбоцитов рекомендуется осуществлять в случае, если ранее реципиенту осуществлялись две и более последовательные трансфузии концентратов тромбоцитов без наличия клинического эффекта или с повторными реакциями и осложнениями у реципиентов.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22. Индивидуальный подбор тромбоцитов выполняется с учетом наличия у реципиента антител к тромбоцитам (анти-HLA I класса, анти-HPA).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23. Биологическая проба проводится независимо от объема и наименования донорской крови и ее компонентов, за исключением трансфузии криопреципитата. 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выполняется, в том числе, при экстренной трансфузии. Для проведения биологической пробы донорскую кровь и (или) ее компоненты переливают со скоростью 2 мл в минуту первые 15 минут трансфузии, наблюдая за состоянием реципиента.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24. При появлении во время проведения биологической пробы клинических симптомов: озноб, боль в пояснице, чувство жара и стеснения в груди, головная боль, тошнота или рвота, врач, проводящий трансфузию, немедленно ее прекращает.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 xml:space="preserve">25. При проведении трансфузии донорской крови и ее компонентов под наркозом признаками реакции или осложнения служат усиливающаяся без видимых причин кровоточивость </w:t>
      </w:r>
      <w:r>
        <w:lastRenderedPageBreak/>
        <w:t>в операционной ране, снижение артериального давления, учащение пульса, изменение цвета мочи. При выявлении любого из перечисленных симптомов трансфузия прекращается.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26. После окончания трансфузии дважды в течение 2 часов осуществляется контроль температуры тела, артериального давления, пульса, диуреза и цвета мочи реципиента.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27. Информация о медицинском обследовании реципиента, выполнении проб на индивидуальную совместимость, трансфузии вносится в протокол трансфузии и медицинскую документацию реципиента.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28. Пробирка с кровью реципиента, использованная для проведения проб на индивидуальную совместимость, единица компонента донорской крови с остаточным объемом не менее 5 мл, образец крови реципиента, использованный для индивидуального подбора (при наличии), хранятся в отделении, осуществившем трансфузию, в течение 48 часов при температуре 2 - 6 °C для возможного определения причин реакций и осложнений, связанных с трансфузией.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29. В случае возникновения гемолитического осложнения после трансфузии эритроцитсодержащих компонентов донорской крови врач, осуществляющий трансфузию, направляет образцы крови реципиента, использованные для проб на индивидуальную совместимость, единицу компонента донорской крови с остаточным объемом не менее 5 мл, а также образец крови реципиента, взятый после трансфузии, в лабораторию для лабораторного исследования.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30. В случае возникновения гемолитического осложнения после трансфузии эритроцитсодержащих компонентов донорской крови организуется выяснение причин гемолитического осложнения, включающее в себя определение: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аллоиммунных антител у реципиента и их идентификацию с использованием панели типированных эритроцитов, содержащей не менее 10 образцов клеток;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антигенов эритроцитов реципиента C, c, E, e и других систем (Кидд, Даффи, Лютеран, MNS, Левис и другие);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аллоиммунных антител у донора, в случае трансфузии компонентов донорской крови, содержащих плазму, и их идентификацию с использованием панели типированных эритроцитов, содержащей не менее 10 образцов клеток;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прямого антиглобулинового теста, выполненного в образцах крови реципиента, взятых до и после трансфузии.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Для уточнения причин гемолиза осуществляется также определение антиэритроцитарных аутоантител и холодовых антител, которые, в случае наличия у реципиента в высоком титре и при отсутствии выявленных причин посттрансфузионного гемолитического осложнения, учитываются в качестве причины гемолиза, не связанной с трансфузией несовместимых донорской крови и (или) ее компонентов.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t>31. Результаты лабораторного исследования причин гемолитического осложнения после трансфузии вносятся в медицинскую документацию реципиента.</w:t>
      </w:r>
    </w:p>
    <w:p w:rsidR="00CB6CBD" w:rsidRDefault="00CB6CBD">
      <w:pPr>
        <w:pStyle w:val="ConsPlusNormal"/>
        <w:spacing w:before="240"/>
        <w:ind w:firstLine="540"/>
        <w:jc w:val="both"/>
      </w:pPr>
      <w:r>
        <w:lastRenderedPageBreak/>
        <w:t>32. В целях обеспечения качества оказания медицинской помощи по профилю "трансфузиология" осуществляется прослеживаемость данных о медицинском обследовании реципиента, выполнении проб на индивидуальную совместимость, трансфузиях, исполнителях работ.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right"/>
        <w:outlineLvl w:val="1"/>
      </w:pPr>
      <w:r>
        <w:t>Приложение</w:t>
      </w:r>
    </w:p>
    <w:p w:rsidR="00CB6CBD" w:rsidRDefault="00CB6CBD">
      <w:pPr>
        <w:pStyle w:val="ConsPlusNormal"/>
        <w:jc w:val="right"/>
      </w:pPr>
      <w:r>
        <w:t>к порядку медицинского обследования</w:t>
      </w:r>
    </w:p>
    <w:p w:rsidR="00CB6CBD" w:rsidRDefault="00CB6CBD">
      <w:pPr>
        <w:pStyle w:val="ConsPlusNormal"/>
        <w:jc w:val="right"/>
      </w:pPr>
      <w:r>
        <w:t>реципиента, проведения проб</w:t>
      </w:r>
    </w:p>
    <w:p w:rsidR="00CB6CBD" w:rsidRDefault="00CB6CBD">
      <w:pPr>
        <w:pStyle w:val="ConsPlusNormal"/>
        <w:jc w:val="right"/>
      </w:pPr>
      <w:r>
        <w:t>на индивидуальную совместимость,</w:t>
      </w:r>
    </w:p>
    <w:p w:rsidR="00CB6CBD" w:rsidRDefault="00CB6CBD">
      <w:pPr>
        <w:pStyle w:val="ConsPlusNormal"/>
        <w:jc w:val="right"/>
      </w:pPr>
      <w:r>
        <w:t>включая биологическую пробу,</w:t>
      </w:r>
    </w:p>
    <w:p w:rsidR="00CB6CBD" w:rsidRDefault="00CB6CBD">
      <w:pPr>
        <w:pStyle w:val="ConsPlusNormal"/>
        <w:jc w:val="right"/>
      </w:pPr>
      <w:r>
        <w:t>при трансфузии донорской</w:t>
      </w:r>
    </w:p>
    <w:p w:rsidR="00CB6CBD" w:rsidRDefault="00CB6CBD">
      <w:pPr>
        <w:pStyle w:val="ConsPlusNormal"/>
        <w:jc w:val="right"/>
      </w:pPr>
      <w:r>
        <w:t>крови и (или) ее компонентов</w:t>
      </w:r>
    </w:p>
    <w:p w:rsidR="00CB6CBD" w:rsidRDefault="00CB6CBD">
      <w:pPr>
        <w:pStyle w:val="ConsPlusNormal"/>
        <w:jc w:val="right"/>
      </w:pPr>
      <w:r>
        <w:t>от 20 октября 2020 г. N 1134н</w:t>
      </w: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Title"/>
        <w:jc w:val="center"/>
      </w:pPr>
      <w:bookmarkStart w:id="3" w:name="Par113"/>
      <w:bookmarkEnd w:id="3"/>
      <w:r>
        <w:t>СОВМЕСТИМОСТЬ</w:t>
      </w:r>
    </w:p>
    <w:p w:rsidR="00CB6CBD" w:rsidRDefault="00CB6CBD">
      <w:pPr>
        <w:pStyle w:val="ConsPlusTitle"/>
        <w:jc w:val="center"/>
      </w:pPr>
      <w:r>
        <w:t>КОМПОНЕНТОВ ДОНОРСКОЙ КРОВИ С ОБРАЗЦОМ КРОВИ РЕЦИПИЕНТА</w:t>
      </w:r>
    </w:p>
    <w:p w:rsidR="00CB6CBD" w:rsidRDefault="00CB6CBD">
      <w:pPr>
        <w:pStyle w:val="ConsPlusTitle"/>
        <w:jc w:val="center"/>
      </w:pPr>
      <w:r>
        <w:t>ПО СИСТЕМЕ AB0 И РЕЗУС-ПРИНАДЛЕЖНОСТИ ПРИ ТРАНСФУЗИЯХ</w:t>
      </w:r>
    </w:p>
    <w:p w:rsidR="00CB6CBD" w:rsidRDefault="00CB6CBD">
      <w:pPr>
        <w:pStyle w:val="ConsPlusTitle"/>
        <w:jc w:val="center"/>
      </w:pPr>
      <w:r>
        <w:t>ДОНОРСКОЙ КРОВИ И ЕЕ КОМПОНЕНТОВ</w:t>
      </w:r>
    </w:p>
    <w:p w:rsidR="00CB6CBD" w:rsidRDefault="00CB6C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474"/>
        <w:gridCol w:w="1191"/>
        <w:gridCol w:w="1474"/>
        <w:gridCol w:w="1474"/>
        <w:gridCol w:w="1587"/>
      </w:tblGrid>
      <w:tr w:rsidR="00CB6CBD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AB0 принадлежность реципиента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AB0 принадлежность донора</w:t>
            </w:r>
          </w:p>
        </w:tc>
      </w:tr>
      <w:tr w:rsidR="00CB6CB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эритроцитсодержащего компонента (ЭСК)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плазмы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криопреципитата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концентрата тромбоцитов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концентрата тромбоцитов в добавочном растворе</w:t>
            </w:r>
          </w:p>
        </w:tc>
      </w:tr>
      <w:tr w:rsidR="00CB6CB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 xml:space="preserve">0, A </w:t>
            </w:r>
            <w:hyperlink w:anchor="Par163" w:tooltip="&lt;1&gt; Полученные методом афереза." w:history="1">
              <w:r>
                <w:rPr>
                  <w:color w:val="0000FF"/>
                </w:rPr>
                <w:t>&lt;1&gt;</w:t>
              </w:r>
            </w:hyperlink>
            <w:r>
              <w:t xml:space="preserve">, B </w:t>
            </w:r>
            <w:hyperlink w:anchor="Par163" w:tooltip="&lt;1&gt; Полученные методом афереза." w:history="1">
              <w:r>
                <w:rPr>
                  <w:color w:val="0000FF"/>
                </w:rPr>
                <w:t>&lt;1&gt;</w:t>
              </w:r>
            </w:hyperlink>
            <w:r>
              <w:t>, 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0, A, B, 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 xml:space="preserve">0, AB </w:t>
            </w:r>
            <w:hyperlink w:anchor="Par163" w:tooltip="&lt;1&gt; Полученные методом аферез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0, A, B, AB</w:t>
            </w:r>
          </w:p>
        </w:tc>
      </w:tr>
      <w:tr w:rsidR="00CB6CB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 экстраагглютинины анти-A1 не выявляются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A, 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A, 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A, 0, B, 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 xml:space="preserve">A, AB </w:t>
            </w:r>
            <w:hyperlink w:anchor="Par163" w:tooltip="&lt;1&gt; Полученные методом афереза." w:history="1">
              <w:r>
                <w:rPr>
                  <w:color w:val="0000FF"/>
                </w:rPr>
                <w:t>&lt;1&gt;</w:t>
              </w:r>
            </w:hyperlink>
            <w:r>
              <w:t xml:space="preserve">, 0 </w:t>
            </w:r>
            <w:hyperlink w:anchor="Par164" w:tooltip="&lt;2&gt; Из единицы кров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0, A, B, AB</w:t>
            </w:r>
          </w:p>
        </w:tc>
      </w:tr>
      <w:tr w:rsidR="00CB6CB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 выявляются экстраагглютинины анти-A1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A, 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A, 0, B, 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 xml:space="preserve">A, AB </w:t>
            </w:r>
            <w:hyperlink w:anchor="Par163" w:tooltip="&lt;1&gt; Полученные методом афереза." w:history="1">
              <w:r>
                <w:rPr>
                  <w:color w:val="0000FF"/>
                </w:rPr>
                <w:t>&lt;1&gt;</w:t>
              </w:r>
            </w:hyperlink>
            <w:r>
              <w:t xml:space="preserve">, 0 </w:t>
            </w:r>
            <w:hyperlink w:anchor="Par164" w:tooltip="&lt;2&gt; Из единицы кров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0, A, B, AB</w:t>
            </w:r>
          </w:p>
        </w:tc>
      </w:tr>
      <w:tr w:rsidR="00CB6CB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B, 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B, 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B, 0, A, 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 xml:space="preserve">B, AB </w:t>
            </w:r>
            <w:hyperlink w:anchor="Par163" w:tooltip="&lt;1&gt; Полученные методом афереза." w:history="1">
              <w:r>
                <w:rPr>
                  <w:color w:val="0000FF"/>
                </w:rPr>
                <w:t>&lt;1&gt;</w:t>
              </w:r>
            </w:hyperlink>
            <w:r>
              <w:t xml:space="preserve">, 0 </w:t>
            </w:r>
            <w:hyperlink w:anchor="Par164" w:tooltip="&lt;2&gt; Из единицы кров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0, A, B, AB</w:t>
            </w:r>
          </w:p>
        </w:tc>
      </w:tr>
      <w:tr w:rsidR="00CB6CB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AB экстраагглютин</w:t>
            </w:r>
            <w:r>
              <w:lastRenderedPageBreak/>
              <w:t>ины анти-A1 не выявляются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lastRenderedPageBreak/>
              <w:t>AB, A, B, 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AB, A, B, 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 xml:space="preserve">AB, 0 </w:t>
            </w:r>
            <w:hyperlink w:anchor="Par164" w:tooltip="&lt;2&gt; Из единицы кров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0, A, B, AB</w:t>
            </w:r>
          </w:p>
        </w:tc>
      </w:tr>
      <w:tr w:rsidR="00CB6CB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lastRenderedPageBreak/>
              <w:t>AB выявляются экстраагглютинины анти-A1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0, 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AB, A, B, 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 xml:space="preserve">AB, 0 </w:t>
            </w:r>
            <w:hyperlink w:anchor="Par164" w:tooltip="&lt;2&gt; Из единицы кров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0, A, B, AB</w:t>
            </w:r>
          </w:p>
        </w:tc>
      </w:tr>
    </w:tbl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ind w:firstLine="540"/>
        <w:jc w:val="both"/>
      </w:pPr>
      <w:r>
        <w:t>--------------------------------</w:t>
      </w:r>
    </w:p>
    <w:p w:rsidR="00CB6CBD" w:rsidRDefault="00CB6CBD">
      <w:pPr>
        <w:pStyle w:val="ConsPlusNormal"/>
        <w:spacing w:before="240"/>
        <w:ind w:firstLine="540"/>
        <w:jc w:val="both"/>
      </w:pPr>
      <w:bookmarkStart w:id="4" w:name="Par163"/>
      <w:bookmarkEnd w:id="4"/>
      <w:r>
        <w:t>&lt;1&gt; Полученные методом афереза.</w:t>
      </w:r>
    </w:p>
    <w:p w:rsidR="00CB6CBD" w:rsidRDefault="00CB6CBD">
      <w:pPr>
        <w:pStyle w:val="ConsPlusNormal"/>
        <w:spacing w:before="240"/>
        <w:ind w:firstLine="540"/>
        <w:jc w:val="both"/>
      </w:pPr>
      <w:bookmarkStart w:id="5" w:name="Par164"/>
      <w:bookmarkEnd w:id="5"/>
      <w:r>
        <w:t>&lt;2&gt; Из единицы крови.</w:t>
      </w:r>
    </w:p>
    <w:p w:rsidR="00CB6CBD" w:rsidRDefault="00CB6CB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608"/>
        <w:gridCol w:w="2608"/>
      </w:tblGrid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Антигены эритроцитов реципиента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Совместимый донор эритроцитсодержащего компонента крови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D" w:rsidRDefault="00CB6CBD">
            <w:pPr>
              <w:pStyle w:val="ConsPlusNormal"/>
              <w:jc w:val="center"/>
            </w:pPr>
            <w:r>
              <w:t>Допустимый донор эритроцитсодержащего компонента крови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CC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CC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-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cc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cc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Cc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Cc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CC, Cc, cc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-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EE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EE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Ee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ee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ee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-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Ee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EE, Ee, ee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-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D, D-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-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D</w:t>
            </w:r>
            <w:r>
              <w:rPr>
                <w:vertAlign w:val="superscript"/>
              </w:rPr>
              <w:t>weak</w:t>
            </w:r>
            <w:r>
              <w:t xml:space="preserve"> (слабый)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D, D-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-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Q</w:t>
            </w:r>
            <w:r>
              <w:rPr>
                <w:vertAlign w:val="superscript"/>
              </w:rPr>
              <w:t>parcial</w:t>
            </w:r>
            <w:r>
              <w:t xml:space="preserve"> (парциальный)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D-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-</w:t>
            </w:r>
          </w:p>
        </w:tc>
      </w:tr>
      <w:tr w:rsidR="00CB6CBD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D-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D-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BD" w:rsidRDefault="00CB6CBD">
            <w:pPr>
              <w:pStyle w:val="ConsPlusNormal"/>
              <w:jc w:val="center"/>
            </w:pPr>
            <w:r>
              <w:t>-</w:t>
            </w:r>
          </w:p>
        </w:tc>
      </w:tr>
    </w:tbl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jc w:val="both"/>
      </w:pPr>
    </w:p>
    <w:p w:rsidR="00CB6CBD" w:rsidRDefault="00CB6C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6CBD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9E" w:rsidRDefault="00297B9E">
      <w:pPr>
        <w:spacing w:after="0" w:line="240" w:lineRule="auto"/>
      </w:pPr>
      <w:r>
        <w:separator/>
      </w:r>
    </w:p>
  </w:endnote>
  <w:endnote w:type="continuationSeparator" w:id="0">
    <w:p w:rsidR="00297B9E" w:rsidRDefault="0029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9E" w:rsidRDefault="00297B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97B9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B9E" w:rsidRDefault="00297B9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B9E" w:rsidRDefault="00297B9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B9E" w:rsidRDefault="00297B9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B2BB0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B2BB0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97B9E" w:rsidRDefault="00297B9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9E" w:rsidRDefault="00297B9E">
      <w:pPr>
        <w:spacing w:after="0" w:line="240" w:lineRule="auto"/>
      </w:pPr>
      <w:r>
        <w:separator/>
      </w:r>
    </w:p>
  </w:footnote>
  <w:footnote w:type="continuationSeparator" w:id="0">
    <w:p w:rsidR="00297B9E" w:rsidRDefault="0029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97B9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B9E" w:rsidRDefault="00297B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20.10.2020 N 1134н</w:t>
          </w:r>
          <w:r>
            <w:rPr>
              <w:sz w:val="16"/>
              <w:szCs w:val="16"/>
            </w:rPr>
            <w:br/>
            <w:t>"Об утверждении порядка медицинского обследования реципиента, проведения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B9E" w:rsidRDefault="00297B9E">
          <w:pPr>
            <w:pStyle w:val="ConsPlusNormal"/>
            <w:jc w:val="center"/>
          </w:pPr>
        </w:p>
        <w:p w:rsidR="00297B9E" w:rsidRDefault="00297B9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7B9E" w:rsidRDefault="00297B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08.12.2020</w:t>
          </w:r>
        </w:p>
      </w:tc>
    </w:tr>
  </w:tbl>
  <w:p w:rsidR="00297B9E" w:rsidRDefault="00297B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97B9E" w:rsidRDefault="00297B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772F8"/>
    <w:rsid w:val="00297B9E"/>
    <w:rsid w:val="002E2E75"/>
    <w:rsid w:val="006772F8"/>
    <w:rsid w:val="006B2BB0"/>
    <w:rsid w:val="00AF72F1"/>
    <w:rsid w:val="00B21DC7"/>
    <w:rsid w:val="00CB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B&amp;n=357178&amp;date=08.12.2020&amp;dst=100252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51248&amp;date=08.12.2020&amp;dst=100111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51248&amp;date=08.12.2020&amp;dst=10011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28029&amp;date=08.12.2020&amp;dst=100174&amp;f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2787</Words>
  <Characters>15886</Characters>
  <Application>Microsoft Office Word</Application>
  <DocSecurity>2</DocSecurity>
  <Lines>132</Lines>
  <Paragraphs>37</Paragraphs>
  <ScaleCrop>false</ScaleCrop>
  <Company>КонсультантПлюс Версия 4018.00.50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20.10.2020 N 1134н"Об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компонентов"(Зарегистрирован</dc:title>
  <dc:creator>3</dc:creator>
  <cp:lastModifiedBy>3</cp:lastModifiedBy>
  <cp:revision>2</cp:revision>
  <dcterms:created xsi:type="dcterms:W3CDTF">2023-02-15T11:45:00Z</dcterms:created>
  <dcterms:modified xsi:type="dcterms:W3CDTF">2023-02-15T11:45:00Z</dcterms:modified>
</cp:coreProperties>
</file>