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8" w:rsidRDefault="00F25EE0">
      <w:pPr>
        <w:pStyle w:val="30"/>
        <w:shd w:val="clear" w:color="auto" w:fill="auto"/>
        <w:ind w:left="20"/>
      </w:pPr>
      <w:bookmarkStart w:id="0" w:name="_GoBack"/>
      <w:bookmarkEnd w:id="0"/>
      <w:r>
        <w:t>Информация</w:t>
      </w:r>
    </w:p>
    <w:p w:rsidR="00612C28" w:rsidRDefault="00F25EE0">
      <w:pPr>
        <w:pStyle w:val="30"/>
        <w:shd w:val="clear" w:color="auto" w:fill="auto"/>
        <w:ind w:left="20"/>
      </w:pPr>
      <w:r>
        <w:t>по проведению оценки коррупционных рисков и противодействии</w:t>
      </w:r>
    </w:p>
    <w:p w:rsidR="00612C28" w:rsidRDefault="00F25EE0">
      <w:pPr>
        <w:pStyle w:val="30"/>
        <w:shd w:val="clear" w:color="auto" w:fill="auto"/>
        <w:ind w:left="20"/>
      </w:pPr>
      <w:r>
        <w:t>коррупции</w:t>
      </w:r>
    </w:p>
    <w:p w:rsidR="00612C28" w:rsidRDefault="00F25EE0">
      <w:pPr>
        <w:pStyle w:val="30"/>
        <w:shd w:val="clear" w:color="auto" w:fill="auto"/>
        <w:spacing w:after="300"/>
        <w:ind w:left="20"/>
      </w:pPr>
      <w:r>
        <w:t>(подготовлена на основе Методических рекомендаций в соответствии с</w:t>
      </w:r>
      <w:r>
        <w:br/>
        <w:t>Национальным планом противодействия коррупции)</w:t>
      </w:r>
    </w:p>
    <w:p w:rsidR="00612C28" w:rsidRDefault="00F25EE0">
      <w:pPr>
        <w:pStyle w:val="20"/>
        <w:shd w:val="clear" w:color="auto" w:fill="auto"/>
        <w:spacing w:before="0" w:after="333"/>
        <w:ind w:firstLine="760"/>
      </w:pPr>
      <w:r>
        <w:t xml:space="preserve">Настоящие информация подготовлена в соответствии с абзацем </w:t>
      </w:r>
      <w:r>
        <w:t xml:space="preserve">четвертым подпункта и) пункта 2 Национального плана противодействия коррупции на 2012-2013 годы, утвержденного Указом Президента Российской Федерации от 13 марта 2012 г. №297, и абзацами вторым и четвертым подпункта с) пункта 2 Указа Президента Российской </w:t>
      </w:r>
      <w:r>
        <w:t xml:space="preserve">Федерации от 7 мая 2012 г. №601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</w:t>
      </w:r>
      <w:r>
        <w:t>проведению оценки коррупционных рисков, возникающих при реализации функций.</w:t>
      </w:r>
    </w:p>
    <w:p w:rsidR="00612C28" w:rsidRDefault="00F25EE0">
      <w:pPr>
        <w:pStyle w:val="30"/>
        <w:numPr>
          <w:ilvl w:val="0"/>
          <w:numId w:val="1"/>
        </w:numPr>
        <w:shd w:val="clear" w:color="auto" w:fill="auto"/>
        <w:tabs>
          <w:tab w:val="left" w:pos="3743"/>
        </w:tabs>
        <w:spacing w:after="304" w:line="280" w:lineRule="exact"/>
        <w:ind w:left="3440"/>
        <w:jc w:val="both"/>
      </w:pPr>
      <w:r>
        <w:t>Общие положения</w:t>
      </w:r>
    </w:p>
    <w:p w:rsidR="00612C28" w:rsidRDefault="00F25EE0">
      <w:pPr>
        <w:pStyle w:val="20"/>
        <w:shd w:val="clear" w:color="auto" w:fill="auto"/>
        <w:spacing w:before="0" w:after="0"/>
        <w:ind w:firstLine="760"/>
      </w:pPr>
      <w:r>
        <w:t>1 .Коррупция: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</w:t>
      </w:r>
      <w:r>
        <w:t xml:space="preserve">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r>
        <w:t>либо незаконное предоставление такой выгоды указанному лицу другими физическими лицами</w:t>
      </w:r>
      <w:r>
        <w:rPr>
          <w:vertAlign w:val="superscript"/>
        </w:rPr>
        <w:t>1</w:t>
      </w:r>
      <w:r>
        <w:t>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t>совершение деяний, указанных в абзаце третьем настоящего пункта, от имени или в интересах юридического лица</w:t>
      </w:r>
      <w:r>
        <w:rPr>
          <w:vertAlign w:val="superscript"/>
        </w:rPr>
        <w:t>1</w:t>
      </w:r>
      <w:r>
        <w:t>;</w:t>
      </w:r>
    </w:p>
    <w:p w:rsidR="00612C28" w:rsidRDefault="00F25EE0">
      <w:pPr>
        <w:pStyle w:val="20"/>
        <w:shd w:val="clear" w:color="auto" w:fill="auto"/>
        <w:spacing w:before="0" w:after="1089"/>
        <w:ind w:firstLine="760"/>
      </w:pPr>
      <w:r>
        <w:t xml:space="preserve">коррупциогенные факторы - положения нормативных правовых </w:t>
      </w:r>
      <w:r>
        <w:t>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r>
        <w:t xml:space="preserve"> и (или) обременительные требования к гражданам и организациям и тем самым создающие условия для проявления коррупции</w:t>
      </w:r>
      <w:r>
        <w:rPr>
          <w:vertAlign w:val="superscript"/>
        </w:rPr>
        <w:footnoteReference w:id="1"/>
      </w:r>
      <w:r>
        <w:t>.</w:t>
      </w:r>
    </w:p>
    <w:p w:rsidR="00612C28" w:rsidRDefault="00F25EE0">
      <w:pPr>
        <w:pStyle w:val="40"/>
        <w:shd w:val="clear" w:color="auto" w:fill="auto"/>
        <w:spacing w:before="0"/>
        <w:ind w:firstLine="1740"/>
      </w:pPr>
      <w:r>
        <w:t xml:space="preserve">Статья 1 Федерального закона от 25 декабря 2008 г. № 273-ФЗ «О противодействии </w:t>
      </w:r>
      <w:r>
        <w:lastRenderedPageBreak/>
        <w:t>коррупции» (Собрание законодательства Российской Федераци</w:t>
      </w:r>
      <w:r>
        <w:t>и, 2008, № 52 (ч. 1), ст. 6228)</w:t>
      </w:r>
    </w:p>
    <w:p w:rsidR="00612C28" w:rsidRDefault="00F25EE0">
      <w:pPr>
        <w:pStyle w:val="40"/>
        <w:shd w:val="clear" w:color="auto" w:fill="auto"/>
        <w:spacing w:before="0"/>
        <w:jc w:val="both"/>
        <w:sectPr w:rsidR="00612C28">
          <w:headerReference w:type="default" r:id="rId8"/>
          <w:footerReference w:type="first" r:id="rId9"/>
          <w:footnotePr>
            <w:numRestart w:val="eachPage"/>
          </w:footnotePr>
          <w:pgSz w:w="11900" w:h="16840"/>
          <w:pgMar w:top="1750" w:right="654" w:bottom="785" w:left="1762" w:header="0" w:footer="3" w:gutter="0"/>
          <w:cols w:space="720"/>
          <w:noEndnote/>
          <w:titlePg/>
          <w:docGrid w:linePitch="360"/>
        </w:sectPr>
      </w:pPr>
      <w:r>
        <w:t xml:space="preserve">Постановление Правительства Российской Федерации от 26 февраля 2010 </w:t>
      </w:r>
      <w:r>
        <w:t>г. №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612C28" w:rsidRDefault="00612C28">
      <w:pPr>
        <w:spacing w:before="19" w:after="19" w:line="240" w:lineRule="exact"/>
        <w:rPr>
          <w:sz w:val="19"/>
          <w:szCs w:val="19"/>
        </w:rPr>
      </w:pPr>
    </w:p>
    <w:p w:rsidR="00612C28" w:rsidRDefault="00612C28">
      <w:pPr>
        <w:rPr>
          <w:sz w:val="2"/>
          <w:szCs w:val="2"/>
        </w:rPr>
        <w:sectPr w:rsidR="00612C28">
          <w:pgSz w:w="11900" w:h="16840"/>
          <w:pgMar w:top="1268" w:right="0" w:bottom="975" w:left="0" w:header="0" w:footer="3" w:gutter="0"/>
          <w:cols w:space="720"/>
          <w:noEndnote/>
          <w:docGrid w:linePitch="360"/>
        </w:sectPr>
      </w:pPr>
    </w:p>
    <w:p w:rsidR="00612C28" w:rsidRDefault="00F25EE0">
      <w:pPr>
        <w:pStyle w:val="30"/>
        <w:shd w:val="clear" w:color="auto" w:fill="auto"/>
        <w:spacing w:after="300"/>
        <w:ind w:left="20"/>
      </w:pPr>
      <w:r>
        <w:lastRenderedPageBreak/>
        <w:t>II. Определение перечня функций федеральных государств</w:t>
      </w:r>
      <w:r>
        <w:t>енных</w:t>
      </w:r>
      <w:r>
        <w:br/>
        <w:t>органов, государственных корпораций (государственной компании), при</w:t>
      </w:r>
      <w:r>
        <w:br/>
        <w:t>реализации которых наиболее вероятно возникновение коррупции</w:t>
      </w:r>
    </w:p>
    <w:p w:rsidR="00612C28" w:rsidRDefault="00F25EE0">
      <w:pPr>
        <w:pStyle w:val="20"/>
        <w:shd w:val="clear" w:color="auto" w:fill="auto"/>
        <w:spacing w:before="0" w:after="0"/>
        <w:ind w:firstLine="760"/>
      </w:pPr>
      <w:r>
        <w:t>1. К коррупционно-опасным функциям может быть отнесено осуществление функций по контролю и надзору, управлению государств</w:t>
      </w:r>
      <w:r>
        <w:t>енным имуществом, оказанию государственных услуг, а также разрешительных, регистрационных функций.</w:t>
      </w:r>
    </w:p>
    <w:p w:rsidR="00612C28" w:rsidRDefault="00F25EE0">
      <w:pPr>
        <w:pStyle w:val="20"/>
        <w:shd w:val="clear" w:color="auto" w:fill="auto"/>
        <w:spacing w:before="0" w:after="0"/>
        <w:ind w:firstLine="760"/>
      </w:pPr>
      <w: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r>
        <w:rPr>
          <w:rStyle w:val="21"/>
        </w:rPr>
        <w:t>Конституцие</w:t>
      </w:r>
      <w:r>
        <w:rPr>
          <w:rStyle w:val="21"/>
        </w:rPr>
        <w:t xml:space="preserve">й </w:t>
      </w:r>
      <w:r>
        <w:t>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проверки),</w:t>
      </w:r>
    </w:p>
    <w:p w:rsidR="00612C28" w:rsidRDefault="00F25EE0">
      <w:pPr>
        <w:pStyle w:val="20"/>
        <w:shd w:val="clear" w:color="auto" w:fill="auto"/>
        <w:spacing w:before="0" w:after="0"/>
        <w:ind w:firstLine="760"/>
      </w:pPr>
      <w:r>
        <w:t>по результатам рассмотрения: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760"/>
      </w:pPr>
      <w:r>
        <w:t>обращений граждан, содержащих инфор</w:t>
      </w:r>
      <w:r>
        <w:t>мацию о коррупционных правонарушениях, в том числе обращений, поступивших по «горячей линии», «электронной приемной» и т.д.;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firstLine="760"/>
      </w:pPr>
      <w:r>
        <w:t>уведомлений представителя нанимателя (работодателя) о фактах обращения в целях склонения федерального государственного служащего, р</w:t>
      </w:r>
      <w:r>
        <w:t>аботника государственной корпорации (государственной компании) (далее - должностные лица) к совершению коррупционных правонарушений;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760"/>
      </w:pPr>
      <w:r>
        <w:t>сообщений в СМИ о коррупционных правонарушениях или фактах несоблюдения должностными лицами требований к служебному поведен</w:t>
      </w:r>
      <w:r>
        <w:t>ию;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firstLine="760"/>
      </w:pPr>
      <w: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</w:t>
      </w:r>
      <w:r>
        <w:t>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612C28" w:rsidRDefault="00F25EE0">
      <w:pPr>
        <w:pStyle w:val="20"/>
        <w:shd w:val="clear" w:color="auto" w:fill="auto"/>
        <w:spacing w:before="0" w:after="0"/>
        <w:ind w:firstLine="760"/>
      </w:pPr>
      <w:r>
        <w:t>Перечень источников, указанных в настоящем пункте, не является исчерпывающим. Основаниями для внесения изменений (дополне</w:t>
      </w:r>
      <w:r>
        <w:t>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</w:t>
      </w:r>
      <w:r>
        <w:t xml:space="preserve">зации функций,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 и т.д. </w:t>
      </w:r>
      <w:r>
        <w:rPr>
          <w:vertAlign w:val="superscript"/>
        </w:rPr>
        <w:t>2</w:t>
      </w:r>
      <w:r>
        <w:t xml:space="preserve"> управленческого процесса, позволяющих злоупотреблять должностными (трудовыми</w:t>
      </w:r>
      <w:r>
        <w:t xml:space="preserve">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</w:t>
      </w:r>
      <w:r>
        <w:lastRenderedPageBreak/>
        <w:t>государства.</w:t>
      </w:r>
    </w:p>
    <w:p w:rsidR="00612C28" w:rsidRDefault="00F25EE0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/>
        <w:ind w:firstLine="780"/>
      </w:pPr>
      <w:r>
        <w:t>В ходе проведен</w:t>
      </w:r>
      <w:r>
        <w:t>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При этом анализируется: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80"/>
      </w:pPr>
      <w:r>
        <w:t>что является предметом коррупции (за какие действия (бездействия) предоставляется выгода);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80"/>
      </w:pPr>
      <w:r>
        <w:t xml:space="preserve">какие </w:t>
      </w:r>
      <w:r>
        <w:t>коррупционные схемы используются.</w:t>
      </w:r>
    </w:p>
    <w:p w:rsidR="00612C28" w:rsidRDefault="00F25EE0">
      <w:pPr>
        <w:pStyle w:val="20"/>
        <w:shd w:val="clear" w:color="auto" w:fill="auto"/>
        <w:spacing w:before="0" w:after="0"/>
      </w:pPr>
      <w:r>
        <w:t>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необоснованное затягивание решения вопроса сверх установленных сроков (волокита) при при</w:t>
      </w:r>
      <w:r>
        <w:t>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использование своих служебных пол</w:t>
      </w:r>
      <w:r>
        <w:t>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предоставление не предусмотренных законом преимуществ (протекционизм, семейственность) для поступления на государственную с</w:t>
      </w:r>
      <w:r>
        <w:t>лужбу, на работу в государственную корпорацию (государственную компанию);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</w:t>
      </w:r>
      <w:r>
        <w:t>ятельности;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требование от физических и юридических лиц информации, предо</w:t>
      </w:r>
      <w:r>
        <w:t>ставление которой не предусмотрено законодательством Российской Федерации;</w:t>
      </w:r>
    </w:p>
    <w:p w:rsidR="00612C28" w:rsidRDefault="00F25EE0">
      <w:pPr>
        <w:pStyle w:val="20"/>
        <w:shd w:val="clear" w:color="auto" w:fill="auto"/>
        <w:spacing w:before="0" w:after="0"/>
        <w:ind w:firstLine="780"/>
      </w:pPr>
      <w:r>
        <w:t>а также сведения о: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80"/>
      </w:pPr>
      <w:r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</w:t>
      </w:r>
      <w:r>
        <w:t>роприятий, предусмотренных должностными (трудовыми) обязанностями;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80"/>
      </w:pPr>
      <w: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780"/>
      </w:pPr>
      <w:r>
        <w:t>попытках несан</w:t>
      </w:r>
      <w:r>
        <w:t>кционированного доступа к информационным ресурсам;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/>
        <w:ind w:firstLine="760"/>
      </w:pPr>
      <w:r>
        <w:t>действиях распорядительного характера, превышающих или не относящихся к должностным (трудовым) полномочиям;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t xml:space="preserve">бездействии в случаях, требующих принятия решений в соответствии со служебными (трудовыми) </w:t>
      </w:r>
      <w:r>
        <w:t>обязанностями;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lastRenderedPageBreak/>
        <w:t>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t>получении должнос</w:t>
      </w:r>
      <w:r>
        <w:t>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760"/>
      </w:pPr>
      <w:r>
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12C28" w:rsidRDefault="00F25EE0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firstLine="760"/>
      </w:pPr>
      <w:r>
        <w:t>совершении финансово-хозяйственных операций с очевидными (даже не для специа</w:t>
      </w:r>
      <w:r>
        <w:t>листа) нарушениями действующего законодательства.</w:t>
      </w:r>
    </w:p>
    <w:p w:rsidR="00612C28" w:rsidRDefault="00F25EE0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/>
        <w:ind w:firstLine="760"/>
      </w:pPr>
      <w:r>
        <w:t>По итогам реализации вышеизложенных мероприятий федеральным государственным органам и государственным корпорациям (государственной компании) рекомендуется сформировать и утвердить перечень должностей в феде</w:t>
      </w:r>
      <w:r>
        <w:t>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нормативных правовых актов предусмотрено пунктом 2 Указа Президента Российской Федерации о</w:t>
      </w:r>
      <w:r>
        <w:t>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</w:t>
      </w:r>
      <w:r>
        <w:t>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подпунктом «а» пункта 22 и подпунктом «в» пункта 23 Указа Президента Российской Фед</w:t>
      </w:r>
      <w:r>
        <w:t>ерации от 2 апреля 2013 г. №309 «О мерах по реализации отдельных положений Федерального закона «О противодействии коррупции»).</w:t>
      </w:r>
    </w:p>
    <w:sectPr w:rsidR="00612C28">
      <w:type w:val="continuous"/>
      <w:pgSz w:w="11900" w:h="16840"/>
      <w:pgMar w:top="1268" w:right="642" w:bottom="975" w:left="1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E0" w:rsidRDefault="00F25EE0">
      <w:r>
        <w:separator/>
      </w:r>
    </w:p>
  </w:endnote>
  <w:endnote w:type="continuationSeparator" w:id="0">
    <w:p w:rsidR="00F25EE0" w:rsidRDefault="00F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8" w:rsidRDefault="007418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9277350</wp:posOffset>
              </wp:positionV>
              <wp:extent cx="7683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C28" w:rsidRDefault="00F25EE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8DF" w:rsidRPr="007418DF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2.15pt;margin-top:730.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" filled="f" stroked="f">
              <v:textbox style="mso-fit-shape-to-text:t" inset="0,0,0,0">
                <w:txbxContent>
                  <w:p w:rsidR="00612C28" w:rsidRDefault="00F25EE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8DF" w:rsidRPr="007418DF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E0" w:rsidRDefault="00F25EE0">
      <w:r>
        <w:separator/>
      </w:r>
    </w:p>
  </w:footnote>
  <w:footnote w:type="continuationSeparator" w:id="0">
    <w:p w:rsidR="00F25EE0" w:rsidRDefault="00F25EE0">
      <w:r>
        <w:continuationSeparator/>
      </w:r>
    </w:p>
  </w:footnote>
  <w:footnote w:id="1">
    <w:p w:rsidR="00612C28" w:rsidRDefault="00F25EE0">
      <w:pPr>
        <w:pStyle w:val="a5"/>
        <w:shd w:val="clear" w:color="auto" w:fill="auto"/>
        <w:tabs>
          <w:tab w:val="left" w:pos="1142"/>
        </w:tabs>
      </w:pPr>
      <w:r>
        <w:footnoteRef/>
      </w:r>
      <w:r>
        <w:tab/>
        <w:t>Оценка коррупционных рисков заключается в выявлении условий и обстоятельств (действий, событий), возникающих в ходе конкрет</w:t>
      </w:r>
      <w:r>
        <w:t>ного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8" w:rsidRDefault="007418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554990</wp:posOffset>
              </wp:positionV>
              <wp:extent cx="76835" cy="175260"/>
              <wp:effectExtent l="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C28" w:rsidRDefault="00F25EE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8DF" w:rsidRPr="007418DF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4pt;margin-top:43.7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COc2JY3QAAAAoBAAAPAAAAAAAA&#10;AAAAAAAAAAQFAABkcnMvZG93bnJldi54bWxQSwUGAAAAAAQABADzAAAADgYAAAAA&#10;" filled="f" stroked="f">
              <v:textbox style="mso-fit-shape-to-text:t" inset="0,0,0,0">
                <w:txbxContent>
                  <w:p w:rsidR="00612C28" w:rsidRDefault="00F25EE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8DF" w:rsidRPr="007418DF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F0D"/>
    <w:multiLevelType w:val="multilevel"/>
    <w:tmpl w:val="9FF62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32740"/>
    <w:multiLevelType w:val="multilevel"/>
    <w:tmpl w:val="0368EC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E008D2"/>
    <w:multiLevelType w:val="multilevel"/>
    <w:tmpl w:val="16BC6F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8"/>
    <w:rsid w:val="00612C28"/>
    <w:rsid w:val="007418DF"/>
    <w:rsid w:val="00F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6" w:lineRule="exact"/>
      <w:ind w:firstLine="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235" w:lineRule="exact"/>
      <w:ind w:firstLine="16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6" w:lineRule="exact"/>
      <w:ind w:firstLine="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235" w:lineRule="exact"/>
      <w:ind w:firstLine="16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2019-05-28T05:52:00Z</dcterms:created>
  <dcterms:modified xsi:type="dcterms:W3CDTF">2019-05-28T05:56:00Z</dcterms:modified>
</cp:coreProperties>
</file>